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4E73" w14:textId="77777777" w:rsidR="003370CF" w:rsidRDefault="003370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5"/>
        <w:gridCol w:w="2970"/>
        <w:gridCol w:w="4005"/>
      </w:tblGrid>
      <w:tr w:rsidR="003370CF" w14:paraId="5715CB1C" w14:textId="77777777" w:rsidTr="00646DE0">
        <w:trPr>
          <w:cantSplit/>
          <w:trHeight w:val="2159"/>
          <w:jc w:val="center"/>
        </w:trPr>
        <w:tc>
          <w:tcPr>
            <w:tcW w:w="3915" w:type="dxa"/>
            <w:tcBorders>
              <w:top w:val="single" w:sz="4" w:space="0" w:color="auto"/>
              <w:left w:val="single" w:sz="4" w:space="0" w:color="auto"/>
              <w:bottom w:val="single" w:sz="4" w:space="0" w:color="auto"/>
              <w:right w:val="single" w:sz="4" w:space="0" w:color="auto"/>
            </w:tcBorders>
          </w:tcPr>
          <w:p w14:paraId="39F84614" w14:textId="77777777" w:rsidR="003370CF" w:rsidRDefault="003370CF">
            <w:pPr>
              <w:tabs>
                <w:tab w:val="left" w:pos="792"/>
              </w:tabs>
              <w:rPr>
                <w:rFonts w:ascii="Arial Black" w:hAnsi="Arial Black"/>
                <w:b/>
                <w:bCs/>
              </w:rPr>
            </w:pPr>
            <w:r>
              <w:rPr>
                <w:rFonts w:ascii="Arial Black" w:hAnsi="Arial Black"/>
                <w:b/>
                <w:bCs/>
              </w:rPr>
              <w:t>Mail Application To:</w:t>
            </w:r>
          </w:p>
          <w:p w14:paraId="04A53EDE" w14:textId="77777777" w:rsidR="00776AAC" w:rsidRDefault="00776AAC" w:rsidP="00776AAC">
            <w:pPr>
              <w:rPr>
                <w:sz w:val="22"/>
                <w:szCs w:val="22"/>
              </w:rPr>
            </w:pPr>
            <w:r>
              <w:rPr>
                <w:sz w:val="22"/>
                <w:szCs w:val="22"/>
              </w:rPr>
              <w:t>New Mexico Environment Department</w:t>
            </w:r>
          </w:p>
          <w:p w14:paraId="526976B5" w14:textId="77777777" w:rsidR="00776AAC" w:rsidRDefault="00776AAC" w:rsidP="00776AAC">
            <w:pPr>
              <w:rPr>
                <w:sz w:val="22"/>
                <w:szCs w:val="22"/>
              </w:rPr>
            </w:pPr>
            <w:r>
              <w:rPr>
                <w:sz w:val="22"/>
                <w:szCs w:val="22"/>
              </w:rPr>
              <w:t>Air Quality Bureau – Permits Section</w:t>
            </w:r>
          </w:p>
          <w:p w14:paraId="32FBD01A" w14:textId="77777777" w:rsidR="00776AAC" w:rsidRDefault="00776AAC" w:rsidP="00776AAC">
            <w:pPr>
              <w:shd w:val="clear" w:color="auto" w:fill="FFFFFF"/>
              <w:rPr>
                <w:color w:val="333333"/>
                <w:sz w:val="22"/>
                <w:szCs w:val="22"/>
              </w:rPr>
            </w:pPr>
            <w:r>
              <w:rPr>
                <w:bCs/>
                <w:color w:val="333333"/>
                <w:sz w:val="22"/>
                <w:szCs w:val="22"/>
              </w:rPr>
              <w:t>525 Camino de los Marquez</w:t>
            </w:r>
            <w:r>
              <w:rPr>
                <w:color w:val="333333"/>
                <w:sz w:val="22"/>
                <w:szCs w:val="22"/>
              </w:rPr>
              <w:t xml:space="preserve">, </w:t>
            </w:r>
            <w:r>
              <w:rPr>
                <w:bCs/>
                <w:color w:val="333333"/>
                <w:sz w:val="22"/>
                <w:szCs w:val="22"/>
              </w:rPr>
              <w:t>Suite 1</w:t>
            </w:r>
          </w:p>
          <w:p w14:paraId="016B40D4" w14:textId="77777777" w:rsidR="00776AAC" w:rsidRDefault="00776AAC" w:rsidP="00776AAC">
            <w:pPr>
              <w:shd w:val="clear" w:color="auto" w:fill="FFFFFF"/>
              <w:rPr>
                <w:color w:val="333333"/>
                <w:sz w:val="22"/>
                <w:szCs w:val="22"/>
              </w:rPr>
            </w:pPr>
            <w:r>
              <w:rPr>
                <w:bCs/>
                <w:color w:val="333333"/>
                <w:sz w:val="22"/>
                <w:szCs w:val="22"/>
              </w:rPr>
              <w:t>Santa Fe, New Mexico, 87505</w:t>
            </w:r>
          </w:p>
          <w:p w14:paraId="0AA2AE28" w14:textId="77777777" w:rsidR="00776AAC" w:rsidRDefault="00776AAC" w:rsidP="00776AAC">
            <w:pPr>
              <w:overflowPunct w:val="0"/>
              <w:autoSpaceDE w:val="0"/>
              <w:autoSpaceDN w:val="0"/>
              <w:adjustRightInd w:val="0"/>
              <w:ind w:left="180"/>
              <w:textAlignment w:val="baseline"/>
              <w:rPr>
                <w:sz w:val="22"/>
                <w:szCs w:val="20"/>
              </w:rPr>
            </w:pPr>
            <w:r>
              <w:rPr>
                <w:sz w:val="22"/>
              </w:rPr>
              <w:tab/>
            </w:r>
            <w:r>
              <w:rPr>
                <w:sz w:val="22"/>
              </w:rPr>
              <w:tab/>
            </w:r>
          </w:p>
          <w:p w14:paraId="1DFFDD4C" w14:textId="77777777" w:rsidR="00776AAC" w:rsidRDefault="00776AAC" w:rsidP="00776AAC">
            <w:pPr>
              <w:tabs>
                <w:tab w:val="left" w:pos="180"/>
              </w:tabs>
              <w:overflowPunct w:val="0"/>
              <w:autoSpaceDE w:val="0"/>
              <w:autoSpaceDN w:val="0"/>
              <w:adjustRightInd w:val="0"/>
              <w:textAlignment w:val="baseline"/>
              <w:rPr>
                <w:sz w:val="22"/>
              </w:rPr>
            </w:pPr>
            <w:r>
              <w:t>Phone (505) 476-4300</w:t>
            </w:r>
            <w:r>
              <w:rPr>
                <w:sz w:val="22"/>
              </w:rPr>
              <w:t xml:space="preserve"> </w:t>
            </w:r>
          </w:p>
          <w:p w14:paraId="7BD96464" w14:textId="71281BCA" w:rsidR="003370CF" w:rsidRDefault="00FF52E8" w:rsidP="00776AAC">
            <w:pPr>
              <w:rPr>
                <w:b/>
                <w:bCs/>
              </w:rPr>
            </w:pPr>
            <w:hyperlink r:id="rId7" w:history="1">
              <w:r w:rsidR="00A81C7F" w:rsidRPr="00BC723D">
                <w:rPr>
                  <w:rStyle w:val="Hyperlink"/>
                </w:rPr>
                <w:t>www.env.nm.gov/air-quality/</w:t>
              </w:r>
            </w:hyperlink>
            <w:r w:rsidR="00A81C7F">
              <w:t xml:space="preserve"> </w:t>
            </w:r>
          </w:p>
        </w:tc>
        <w:tc>
          <w:tcPr>
            <w:tcW w:w="2970" w:type="dxa"/>
            <w:tcBorders>
              <w:top w:val="single" w:sz="4" w:space="0" w:color="auto"/>
              <w:left w:val="single" w:sz="4" w:space="0" w:color="auto"/>
              <w:bottom w:val="single" w:sz="4" w:space="0" w:color="auto"/>
              <w:right w:val="single" w:sz="4" w:space="0" w:color="auto"/>
            </w:tcBorders>
          </w:tcPr>
          <w:p w14:paraId="72AC04E5" w14:textId="6707F34C" w:rsidR="003370CF" w:rsidRPr="00646DE0" w:rsidRDefault="00646DE0" w:rsidP="00646DE0">
            <w:pPr>
              <w:jc w:val="center"/>
            </w:pPr>
            <w:r w:rsidRPr="00AA332B">
              <w:rPr>
                <w:b/>
                <w:bCs/>
                <w:noProof/>
              </w:rPr>
              <w:drawing>
                <wp:inline distT="0" distB="0" distL="0" distR="0" wp14:anchorId="359F5074" wp14:editId="6F5D3D5C">
                  <wp:extent cx="1428750" cy="132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327150"/>
                          </a:xfrm>
                          <a:prstGeom prst="rect">
                            <a:avLst/>
                          </a:prstGeom>
                          <a:noFill/>
                          <a:ln>
                            <a:noFill/>
                          </a:ln>
                        </pic:spPr>
                      </pic:pic>
                    </a:graphicData>
                  </a:graphic>
                </wp:inline>
              </w:drawing>
            </w:r>
          </w:p>
        </w:tc>
        <w:tc>
          <w:tcPr>
            <w:tcW w:w="4005" w:type="dxa"/>
            <w:tcBorders>
              <w:top w:val="single" w:sz="4" w:space="0" w:color="auto"/>
              <w:left w:val="single" w:sz="4" w:space="0" w:color="auto"/>
              <w:bottom w:val="single" w:sz="4" w:space="0" w:color="auto"/>
              <w:right w:val="single" w:sz="4" w:space="0" w:color="auto"/>
            </w:tcBorders>
          </w:tcPr>
          <w:p w14:paraId="4C44BFA0" w14:textId="77777777" w:rsidR="003370CF" w:rsidRDefault="003370CF">
            <w:pPr>
              <w:rPr>
                <w:b/>
                <w:bCs/>
              </w:rPr>
            </w:pPr>
          </w:p>
          <w:p w14:paraId="04782F7A" w14:textId="77777777" w:rsidR="003370CF" w:rsidRDefault="003370CF">
            <w:pPr>
              <w:rPr>
                <w:b/>
                <w:bCs/>
                <w:sz w:val="20"/>
              </w:rPr>
            </w:pPr>
          </w:p>
          <w:p w14:paraId="11C20057" w14:textId="77777777" w:rsidR="00776AAC" w:rsidRDefault="00776AAC">
            <w:pPr>
              <w:rPr>
                <w:b/>
                <w:bCs/>
                <w:sz w:val="20"/>
              </w:rPr>
            </w:pPr>
          </w:p>
          <w:p w14:paraId="5A93B2BD" w14:textId="77777777" w:rsidR="00776AAC" w:rsidRDefault="00776AAC">
            <w:pPr>
              <w:rPr>
                <w:b/>
                <w:bCs/>
                <w:sz w:val="20"/>
              </w:rPr>
            </w:pPr>
          </w:p>
          <w:p w14:paraId="6F3CF225" w14:textId="77777777" w:rsidR="00776AAC" w:rsidRDefault="00776AAC">
            <w:pPr>
              <w:rPr>
                <w:b/>
                <w:bCs/>
                <w:sz w:val="20"/>
              </w:rPr>
            </w:pPr>
          </w:p>
          <w:p w14:paraId="10226E74" w14:textId="77777777" w:rsidR="00776AAC" w:rsidRDefault="00776AAC">
            <w:pPr>
              <w:rPr>
                <w:b/>
                <w:bCs/>
                <w:sz w:val="20"/>
              </w:rPr>
            </w:pPr>
          </w:p>
          <w:p w14:paraId="13F4191B" w14:textId="77777777" w:rsidR="00776AAC" w:rsidRDefault="00776AAC">
            <w:pPr>
              <w:rPr>
                <w:b/>
                <w:bCs/>
                <w:sz w:val="20"/>
              </w:rPr>
            </w:pPr>
          </w:p>
          <w:p w14:paraId="1673E6CB" w14:textId="77777777" w:rsidR="00776AAC" w:rsidRDefault="00776AAC">
            <w:pPr>
              <w:rPr>
                <w:b/>
                <w:bCs/>
                <w:sz w:val="20"/>
              </w:rPr>
            </w:pPr>
          </w:p>
          <w:p w14:paraId="2FE74A2F" w14:textId="77777777" w:rsidR="003370CF" w:rsidRDefault="003370CF" w:rsidP="00646DE0">
            <w:pPr>
              <w:rPr>
                <w:rFonts w:ascii="Arial Black" w:hAnsi="Arial Black"/>
                <w:i/>
                <w:iCs/>
              </w:rPr>
            </w:pPr>
            <w:r>
              <w:rPr>
                <w:rFonts w:ascii="Arial Black" w:hAnsi="Arial Black"/>
                <w:i/>
                <w:iCs/>
                <w:sz w:val="20"/>
              </w:rPr>
              <w:t>For NMED use only</w:t>
            </w:r>
          </w:p>
        </w:tc>
      </w:tr>
      <w:tr w:rsidR="003370CF" w14:paraId="5C4A004A" w14:textId="77777777">
        <w:trPr>
          <w:cantSplit/>
          <w:trHeight w:val="710"/>
          <w:jc w:val="center"/>
        </w:trPr>
        <w:tc>
          <w:tcPr>
            <w:tcW w:w="10890" w:type="dxa"/>
            <w:gridSpan w:val="3"/>
            <w:tcBorders>
              <w:top w:val="nil"/>
              <w:left w:val="nil"/>
              <w:bottom w:val="nil"/>
              <w:right w:val="nil"/>
            </w:tcBorders>
            <w:vAlign w:val="center"/>
          </w:tcPr>
          <w:p w14:paraId="7A1DC96F" w14:textId="77777777" w:rsidR="003370CF" w:rsidRDefault="003370CF">
            <w:pPr>
              <w:jc w:val="center"/>
              <w:rPr>
                <w:rFonts w:ascii="CG Times" w:hAnsi="CG Times"/>
                <w:b/>
                <w:bCs/>
              </w:rPr>
            </w:pPr>
          </w:p>
          <w:p w14:paraId="63C5A67A" w14:textId="77777777" w:rsidR="003370CF" w:rsidRDefault="003370CF">
            <w:pPr>
              <w:jc w:val="center"/>
              <w:rPr>
                <w:rFonts w:ascii="CG Times" w:hAnsi="CG Times"/>
                <w:b/>
                <w:bCs/>
                <w:sz w:val="44"/>
                <w:szCs w:val="44"/>
              </w:rPr>
            </w:pPr>
            <w:r>
              <w:rPr>
                <w:rFonts w:ascii="CG Times" w:hAnsi="CG Times"/>
                <w:b/>
                <w:bCs/>
                <w:sz w:val="44"/>
                <w:szCs w:val="44"/>
              </w:rPr>
              <w:t>Air Quality Permit Application Supplement for</w:t>
            </w:r>
          </w:p>
          <w:p w14:paraId="3090799A" w14:textId="77777777" w:rsidR="003370CF" w:rsidRDefault="003370CF">
            <w:pPr>
              <w:jc w:val="center"/>
              <w:rPr>
                <w:rFonts w:ascii="CG Times" w:hAnsi="CG Times"/>
                <w:b/>
                <w:bCs/>
                <w:sz w:val="44"/>
                <w:szCs w:val="44"/>
              </w:rPr>
            </w:pPr>
            <w:r>
              <w:rPr>
                <w:rFonts w:ascii="CG Times" w:hAnsi="CG Times"/>
                <w:b/>
                <w:bCs/>
                <w:sz w:val="44"/>
                <w:szCs w:val="44"/>
              </w:rPr>
              <w:t>Cotton Gins to Construct or Modify</w:t>
            </w:r>
          </w:p>
          <w:p w14:paraId="3195D646" w14:textId="77777777" w:rsidR="003370CF" w:rsidRDefault="003370CF">
            <w:pPr>
              <w:pStyle w:val="Heading9"/>
              <w:rPr>
                <w:rFonts w:ascii="Impact" w:hAnsi="Impact"/>
                <w:sz w:val="32"/>
                <w:szCs w:val="32"/>
              </w:rPr>
            </w:pPr>
            <w:r>
              <w:rPr>
                <w:rFonts w:ascii="CG Times" w:hAnsi="CG Times"/>
                <w:sz w:val="32"/>
                <w:szCs w:val="32"/>
              </w:rPr>
              <w:t xml:space="preserve">Under 20.2.66 NMAC – </w:t>
            </w:r>
            <w:r>
              <w:rPr>
                <w:rFonts w:ascii="CG Times" w:hAnsi="CG Times"/>
                <w:i/>
                <w:iCs/>
                <w:sz w:val="32"/>
                <w:szCs w:val="32"/>
              </w:rPr>
              <w:t>Cotton Gins</w:t>
            </w:r>
          </w:p>
        </w:tc>
      </w:tr>
    </w:tbl>
    <w:p w14:paraId="2CA4D52D" w14:textId="77777777" w:rsidR="003370CF" w:rsidRDefault="003370CF"/>
    <w:p w14:paraId="4A92DFB6" w14:textId="77777777" w:rsidR="003370CF" w:rsidRDefault="003370CF">
      <w:r>
        <w:t xml:space="preserve">Cotton ginners that are subject to air quality construction permit requirements under 20.2.72 NMAC - </w:t>
      </w:r>
      <w:r>
        <w:rPr>
          <w:i/>
          <w:iCs/>
        </w:rPr>
        <w:t xml:space="preserve">Construction Permits </w:t>
      </w:r>
      <w:r>
        <w:t xml:space="preserve">("Part 2.72") have two options for filling out their permit applications.  They may choose to use the regular permit application procedures, which require an air quality dispersion modeling demonstration that the gin will meet ambient air quality standards.  Alternatively, the ginner may invoke 20.2.6 NMAC – </w:t>
      </w:r>
      <w:r>
        <w:rPr>
          <w:i/>
          <w:iCs/>
        </w:rPr>
        <w:t>Cotton Gins</w:t>
      </w:r>
      <w:r>
        <w:t xml:space="preserve"> ("Part 2.66") and attach this supplemental form to their application in lieu of dispersion modeling.  Please note, however, that by invoking Part 2.66 – </w:t>
      </w:r>
      <w:r>
        <w:rPr>
          <w:i/>
          <w:iCs/>
        </w:rPr>
        <w:t>Cotton Gins</w:t>
      </w:r>
      <w:r>
        <w:t xml:space="preserve"> the ginner becomes subject to </w:t>
      </w:r>
      <w:proofErr w:type="gramStart"/>
      <w:r>
        <w:t>all of</w:t>
      </w:r>
      <w:proofErr w:type="gramEnd"/>
      <w:r>
        <w:t xml:space="preserve"> the requirements of the regulation.  Copies of the regulation, as well as the application form for Part 2.72, may be obtained from the Air Quality Bureau at the above address and phone number, and are available at the above web site.</w:t>
      </w:r>
    </w:p>
    <w:p w14:paraId="7F9D2414" w14:textId="77777777" w:rsidR="003370CF" w:rsidRDefault="003370CF"/>
    <w:p w14:paraId="4A7E00BC" w14:textId="77777777" w:rsidR="003370CF" w:rsidRDefault="003370CF">
      <w:r>
        <w:t xml:space="preserve">Cotton Ginners that wish to apply for a construction permit or modification under Part 2.72 – </w:t>
      </w:r>
      <w:r>
        <w:rPr>
          <w:i/>
          <w:iCs/>
        </w:rPr>
        <w:t>Construction Permits</w:t>
      </w:r>
      <w:r>
        <w:t xml:space="preserve"> using the procedures provided under Part 2.66 - </w:t>
      </w:r>
      <w:r>
        <w:rPr>
          <w:i/>
          <w:iCs/>
        </w:rPr>
        <w:t>Cotton Gins</w:t>
      </w:r>
      <w:r>
        <w:t xml:space="preserve"> must:</w:t>
      </w:r>
    </w:p>
    <w:p w14:paraId="5EEF14AC" w14:textId="77777777" w:rsidR="003370CF" w:rsidRDefault="003370CF">
      <w:r>
        <w:t>1.</w:t>
      </w:r>
      <w:r>
        <w:tab/>
        <w:t xml:space="preserve"> Fill in the information in Part I of this supplemental form, below.</w:t>
      </w:r>
    </w:p>
    <w:p w14:paraId="14F8E54D" w14:textId="77777777" w:rsidR="003370CF" w:rsidRDefault="003370CF">
      <w:r>
        <w:t>2.</w:t>
      </w:r>
      <w:r>
        <w:tab/>
        <w:t>Answer the questions in Part II below (note that if any of the questions are answered 'no' then the cotton gin facility will not qualify to use Part 2.66).</w:t>
      </w:r>
    </w:p>
    <w:p w14:paraId="2B817425" w14:textId="77777777" w:rsidR="003370CF" w:rsidRDefault="003370CF">
      <w:r>
        <w:t>3.</w:t>
      </w:r>
      <w:r>
        <w:tab/>
        <w:t xml:space="preserve">Attach: </w:t>
      </w:r>
    </w:p>
    <w:p w14:paraId="2051799F" w14:textId="77777777" w:rsidR="003370CF" w:rsidRDefault="003370CF">
      <w:pPr>
        <w:numPr>
          <w:ilvl w:val="0"/>
          <w:numId w:val="1"/>
        </w:numPr>
      </w:pPr>
      <w:r>
        <w:t xml:space="preserve">Descriptions of the measures to be taken to control fugitive dust (see descriptions under questions 7 and 8 below), and </w:t>
      </w:r>
    </w:p>
    <w:p w14:paraId="70B39BDB" w14:textId="77777777" w:rsidR="003370CF" w:rsidRDefault="003370CF">
      <w:pPr>
        <w:numPr>
          <w:ilvl w:val="0"/>
          <w:numId w:val="1"/>
        </w:numPr>
      </w:pPr>
      <w:r>
        <w:t>The distance calculations for question 15 below.</w:t>
      </w:r>
    </w:p>
    <w:p w14:paraId="356F0B42" w14:textId="77777777" w:rsidR="003370CF" w:rsidRDefault="003370CF">
      <w:r>
        <w:t>4.</w:t>
      </w:r>
      <w:r>
        <w:tab/>
        <w:t xml:space="preserve">Include this supplemental form and attachments with the permit application that is required under Part 2.72 – </w:t>
      </w:r>
      <w:r>
        <w:rPr>
          <w:i/>
          <w:iCs/>
        </w:rPr>
        <w:t>Construction Permits</w:t>
      </w:r>
      <w:r>
        <w:t xml:space="preserve"> (note that the air quality dispersion modeling demonstration listed in that application form is not required). </w:t>
      </w:r>
    </w:p>
    <w:p w14:paraId="000FAFA2" w14:textId="77777777" w:rsidR="003370CF" w:rsidRDefault="003370CF">
      <w: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3285"/>
        <w:gridCol w:w="2835"/>
        <w:gridCol w:w="630"/>
        <w:gridCol w:w="45"/>
        <w:gridCol w:w="3510"/>
      </w:tblGrid>
      <w:tr w:rsidR="003370CF" w14:paraId="251C4D38" w14:textId="77777777">
        <w:trPr>
          <w:cantSplit/>
          <w:trHeight w:val="400"/>
          <w:jc w:val="center"/>
        </w:trPr>
        <w:tc>
          <w:tcPr>
            <w:tcW w:w="10890" w:type="dxa"/>
            <w:gridSpan w:val="6"/>
            <w:tcBorders>
              <w:top w:val="nil"/>
              <w:left w:val="nil"/>
              <w:bottom w:val="single" w:sz="4" w:space="0" w:color="auto"/>
              <w:right w:val="nil"/>
            </w:tcBorders>
            <w:vAlign w:val="bottom"/>
          </w:tcPr>
          <w:p w14:paraId="74D1865B" w14:textId="77777777" w:rsidR="003370CF" w:rsidRDefault="003370CF">
            <w:pPr>
              <w:pStyle w:val="Heading1"/>
            </w:pPr>
            <w:r>
              <w:lastRenderedPageBreak/>
              <w:t>Part I: Company and Gin Information</w:t>
            </w:r>
          </w:p>
        </w:tc>
      </w:tr>
      <w:tr w:rsidR="003370CF" w14:paraId="58A48294" w14:textId="77777777">
        <w:trPr>
          <w:trHeight w:val="400"/>
          <w:jc w:val="center"/>
        </w:trPr>
        <w:tc>
          <w:tcPr>
            <w:tcW w:w="585" w:type="dxa"/>
            <w:tcBorders>
              <w:top w:val="nil"/>
              <w:left w:val="single" w:sz="4" w:space="0" w:color="auto"/>
              <w:bottom w:val="single" w:sz="4" w:space="0" w:color="auto"/>
              <w:right w:val="single" w:sz="4" w:space="0" w:color="auto"/>
            </w:tcBorders>
            <w:vAlign w:val="center"/>
          </w:tcPr>
          <w:p w14:paraId="49CB1DB5" w14:textId="77777777" w:rsidR="003370CF" w:rsidRDefault="003370CF">
            <w:r>
              <w:t>1</w:t>
            </w:r>
          </w:p>
        </w:tc>
        <w:tc>
          <w:tcPr>
            <w:tcW w:w="6750" w:type="dxa"/>
            <w:gridSpan w:val="3"/>
            <w:tcBorders>
              <w:top w:val="nil"/>
              <w:left w:val="single" w:sz="4" w:space="0" w:color="auto"/>
              <w:bottom w:val="single" w:sz="4" w:space="0" w:color="auto"/>
              <w:right w:val="single" w:sz="4" w:space="0" w:color="auto"/>
            </w:tcBorders>
            <w:vAlign w:val="center"/>
          </w:tcPr>
          <w:p w14:paraId="103F83B8" w14:textId="77777777" w:rsidR="003370CF" w:rsidRDefault="003370CF">
            <w:r>
              <w:t>Company name:</w:t>
            </w:r>
          </w:p>
        </w:tc>
        <w:tc>
          <w:tcPr>
            <w:tcW w:w="3555" w:type="dxa"/>
            <w:gridSpan w:val="2"/>
            <w:tcBorders>
              <w:top w:val="nil"/>
              <w:left w:val="single" w:sz="4" w:space="0" w:color="auto"/>
              <w:bottom w:val="single" w:sz="4" w:space="0" w:color="auto"/>
              <w:right w:val="single" w:sz="4" w:space="0" w:color="auto"/>
            </w:tcBorders>
            <w:vAlign w:val="center"/>
          </w:tcPr>
          <w:p w14:paraId="6FACF0F3" w14:textId="77777777" w:rsidR="003370CF" w:rsidRDefault="003370CF">
            <w:r>
              <w:t>Date application notarized:</w:t>
            </w:r>
          </w:p>
        </w:tc>
      </w:tr>
      <w:tr w:rsidR="003370CF" w14:paraId="0B518B69" w14:textId="77777777">
        <w:trPr>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3A323B9C" w14:textId="77777777" w:rsidR="003370CF" w:rsidRDefault="003370CF">
            <w:r>
              <w:t>2</w:t>
            </w:r>
          </w:p>
        </w:tc>
        <w:tc>
          <w:tcPr>
            <w:tcW w:w="6750" w:type="dxa"/>
            <w:gridSpan w:val="3"/>
            <w:tcBorders>
              <w:top w:val="single" w:sz="4" w:space="0" w:color="auto"/>
              <w:left w:val="single" w:sz="4" w:space="0" w:color="auto"/>
              <w:bottom w:val="single" w:sz="4" w:space="0" w:color="auto"/>
              <w:right w:val="single" w:sz="4" w:space="0" w:color="auto"/>
            </w:tcBorders>
            <w:vAlign w:val="center"/>
          </w:tcPr>
          <w:p w14:paraId="3425B354" w14:textId="77777777" w:rsidR="003370CF" w:rsidRDefault="003370CF">
            <w:r>
              <w:t>Facility name:</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255D6752" w14:textId="77777777" w:rsidR="003370CF" w:rsidRDefault="003370CF">
            <w:pPr>
              <w:rPr>
                <w:lang w:val="fr-FR"/>
              </w:rPr>
            </w:pPr>
            <w:r>
              <w:rPr>
                <w:lang w:val="fr-FR"/>
              </w:rPr>
              <w:t>SIC code (4 digits</w:t>
            </w:r>
            <w:proofErr w:type="gramStart"/>
            <w:r>
              <w:rPr>
                <w:lang w:val="fr-FR"/>
              </w:rPr>
              <w:t>):</w:t>
            </w:r>
            <w:proofErr w:type="gramEnd"/>
            <w:r>
              <w:rPr>
                <w:lang w:val="fr-FR"/>
              </w:rPr>
              <w:t xml:space="preserve"> 0724</w:t>
            </w:r>
          </w:p>
        </w:tc>
      </w:tr>
      <w:tr w:rsidR="003370CF" w14:paraId="53145406" w14:textId="77777777">
        <w:trPr>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525DEDB8" w14:textId="77777777" w:rsidR="003370CF" w:rsidRDefault="003370CF">
            <w:r>
              <w:t>3</w:t>
            </w:r>
          </w:p>
        </w:tc>
        <w:tc>
          <w:tcPr>
            <w:tcW w:w="10305" w:type="dxa"/>
            <w:gridSpan w:val="5"/>
            <w:tcBorders>
              <w:top w:val="single" w:sz="4" w:space="0" w:color="auto"/>
              <w:left w:val="single" w:sz="4" w:space="0" w:color="auto"/>
              <w:bottom w:val="single" w:sz="4" w:space="0" w:color="auto"/>
              <w:right w:val="single" w:sz="4" w:space="0" w:color="auto"/>
            </w:tcBorders>
            <w:vAlign w:val="center"/>
          </w:tcPr>
          <w:p w14:paraId="78759CFB" w14:textId="77777777" w:rsidR="003370CF" w:rsidRDefault="003370CF">
            <w:r>
              <w:t>Company mailing address:</w:t>
            </w:r>
          </w:p>
        </w:tc>
      </w:tr>
      <w:tr w:rsidR="003370CF" w14:paraId="321BE938" w14:textId="77777777">
        <w:trPr>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4DE85A59" w14:textId="77777777" w:rsidR="003370CF" w:rsidRDefault="003370CF">
            <w:r>
              <w:t>4</w:t>
            </w:r>
          </w:p>
        </w:tc>
        <w:tc>
          <w:tcPr>
            <w:tcW w:w="10305" w:type="dxa"/>
            <w:gridSpan w:val="5"/>
            <w:tcBorders>
              <w:top w:val="single" w:sz="4" w:space="0" w:color="auto"/>
              <w:left w:val="single" w:sz="4" w:space="0" w:color="auto"/>
              <w:bottom w:val="single" w:sz="4" w:space="0" w:color="auto"/>
              <w:right w:val="single" w:sz="4" w:space="0" w:color="auto"/>
            </w:tcBorders>
            <w:vAlign w:val="center"/>
          </w:tcPr>
          <w:p w14:paraId="65DEDEF2" w14:textId="77777777" w:rsidR="003370CF" w:rsidRDefault="003370CF">
            <w:r>
              <w:t>Facility Location:</w:t>
            </w:r>
          </w:p>
        </w:tc>
      </w:tr>
      <w:tr w:rsidR="003370CF" w14:paraId="17894AA3" w14:textId="77777777">
        <w:trPr>
          <w:cantSplit/>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73CED41F" w14:textId="77777777" w:rsidR="003370CF" w:rsidRDefault="003370CF">
            <w:r>
              <w:t>5</w:t>
            </w:r>
          </w:p>
        </w:tc>
        <w:tc>
          <w:tcPr>
            <w:tcW w:w="6120" w:type="dxa"/>
            <w:gridSpan w:val="2"/>
            <w:tcBorders>
              <w:top w:val="single" w:sz="4" w:space="0" w:color="auto"/>
              <w:left w:val="single" w:sz="4" w:space="0" w:color="auto"/>
              <w:bottom w:val="single" w:sz="4" w:space="0" w:color="auto"/>
              <w:right w:val="single" w:sz="4" w:space="0" w:color="auto"/>
            </w:tcBorders>
            <w:vAlign w:val="center"/>
          </w:tcPr>
          <w:p w14:paraId="60AC8DBD" w14:textId="77777777" w:rsidR="003370CF" w:rsidRDefault="003370CF">
            <w:r>
              <w:t>Contact person:</w:t>
            </w:r>
          </w:p>
        </w:tc>
        <w:tc>
          <w:tcPr>
            <w:tcW w:w="4185" w:type="dxa"/>
            <w:gridSpan w:val="3"/>
            <w:tcBorders>
              <w:top w:val="single" w:sz="4" w:space="0" w:color="auto"/>
              <w:left w:val="single" w:sz="4" w:space="0" w:color="auto"/>
              <w:bottom w:val="single" w:sz="4" w:space="0" w:color="auto"/>
              <w:right w:val="single" w:sz="4" w:space="0" w:color="auto"/>
            </w:tcBorders>
            <w:vAlign w:val="center"/>
          </w:tcPr>
          <w:p w14:paraId="56C67BD4" w14:textId="77777777" w:rsidR="003370CF" w:rsidRDefault="003370CF">
            <w:r>
              <w:t>Title:</w:t>
            </w:r>
          </w:p>
        </w:tc>
      </w:tr>
      <w:tr w:rsidR="003370CF" w14:paraId="59529FC6" w14:textId="77777777">
        <w:trPr>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090101CC" w14:textId="77777777" w:rsidR="003370CF" w:rsidRDefault="003370CF">
            <w:r>
              <w:t>6</w:t>
            </w:r>
          </w:p>
        </w:tc>
        <w:tc>
          <w:tcPr>
            <w:tcW w:w="3285" w:type="dxa"/>
            <w:tcBorders>
              <w:top w:val="single" w:sz="4" w:space="0" w:color="auto"/>
              <w:left w:val="single" w:sz="4" w:space="0" w:color="auto"/>
              <w:bottom w:val="single" w:sz="4" w:space="0" w:color="auto"/>
              <w:right w:val="single" w:sz="4" w:space="0" w:color="auto"/>
            </w:tcBorders>
            <w:vAlign w:val="center"/>
          </w:tcPr>
          <w:p w14:paraId="06AE9387" w14:textId="77777777" w:rsidR="003370CF" w:rsidRDefault="003370CF">
            <w:r>
              <w:t>Phone No:</w:t>
            </w: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725E6028" w14:textId="77777777" w:rsidR="003370CF" w:rsidRDefault="003370CF">
            <w:r>
              <w:t>Fax No:</w:t>
            </w:r>
          </w:p>
        </w:tc>
        <w:tc>
          <w:tcPr>
            <w:tcW w:w="3510" w:type="dxa"/>
            <w:tcBorders>
              <w:top w:val="single" w:sz="4" w:space="0" w:color="auto"/>
              <w:left w:val="single" w:sz="4" w:space="0" w:color="auto"/>
              <w:bottom w:val="single" w:sz="4" w:space="0" w:color="auto"/>
              <w:right w:val="single" w:sz="4" w:space="0" w:color="auto"/>
            </w:tcBorders>
            <w:vAlign w:val="center"/>
          </w:tcPr>
          <w:p w14:paraId="299BCEA0" w14:textId="77777777" w:rsidR="003370CF" w:rsidRDefault="003370CF">
            <w:r>
              <w:t xml:space="preserve">E-mail: </w:t>
            </w:r>
          </w:p>
        </w:tc>
      </w:tr>
      <w:tr w:rsidR="003370CF" w14:paraId="2C21082B" w14:textId="77777777">
        <w:trPr>
          <w:cantSplit/>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51C84BFD" w14:textId="77777777" w:rsidR="003370CF" w:rsidRDefault="003370CF">
            <w:r>
              <w:t>7</w:t>
            </w:r>
          </w:p>
        </w:tc>
        <w:tc>
          <w:tcPr>
            <w:tcW w:w="10305" w:type="dxa"/>
            <w:gridSpan w:val="5"/>
            <w:tcBorders>
              <w:top w:val="single" w:sz="4" w:space="0" w:color="auto"/>
              <w:left w:val="single" w:sz="4" w:space="0" w:color="auto"/>
              <w:bottom w:val="single" w:sz="4" w:space="0" w:color="auto"/>
              <w:right w:val="single" w:sz="4" w:space="0" w:color="auto"/>
            </w:tcBorders>
            <w:vAlign w:val="center"/>
          </w:tcPr>
          <w:p w14:paraId="0C1819AE" w14:textId="77777777" w:rsidR="003370CF" w:rsidRDefault="003370CF">
            <w:r>
              <w:t>The smallest distance between the stacks/vent and the nearest property boundary:</w:t>
            </w:r>
          </w:p>
          <w:p w14:paraId="139DE9DA" w14:textId="77777777" w:rsidR="003370CF" w:rsidRDefault="003370CF">
            <w:r>
              <w:rPr>
                <w:i/>
                <w:iCs/>
              </w:rPr>
              <w:t>Note:  Calculations are described in question 15 below and must be attached.</w:t>
            </w:r>
          </w:p>
        </w:tc>
      </w:tr>
      <w:tr w:rsidR="003370CF" w14:paraId="5A577A20" w14:textId="77777777">
        <w:trPr>
          <w:cantSplit/>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0A432766" w14:textId="77777777" w:rsidR="003370CF" w:rsidRDefault="003370CF">
            <w:r>
              <w:t>8</w:t>
            </w:r>
          </w:p>
        </w:tc>
        <w:tc>
          <w:tcPr>
            <w:tcW w:w="10305" w:type="dxa"/>
            <w:gridSpan w:val="5"/>
            <w:tcBorders>
              <w:top w:val="single" w:sz="4" w:space="0" w:color="auto"/>
              <w:left w:val="single" w:sz="4" w:space="0" w:color="auto"/>
              <w:bottom w:val="single" w:sz="4" w:space="0" w:color="auto"/>
              <w:right w:val="single" w:sz="4" w:space="0" w:color="auto"/>
            </w:tcBorders>
            <w:vAlign w:val="center"/>
          </w:tcPr>
          <w:p w14:paraId="4D4B3C5C" w14:textId="77777777" w:rsidR="003370CF" w:rsidRDefault="003370CF">
            <w:r>
              <w:t>The smallest distance between the gin building and the nearest property boundary:</w:t>
            </w:r>
          </w:p>
        </w:tc>
      </w:tr>
      <w:tr w:rsidR="003370CF" w14:paraId="197E59A1" w14:textId="77777777">
        <w:trPr>
          <w:cantSplit/>
          <w:trHeight w:val="400"/>
          <w:jc w:val="center"/>
        </w:trPr>
        <w:tc>
          <w:tcPr>
            <w:tcW w:w="10890" w:type="dxa"/>
            <w:gridSpan w:val="6"/>
            <w:tcBorders>
              <w:top w:val="single" w:sz="4" w:space="0" w:color="auto"/>
              <w:left w:val="nil"/>
              <w:bottom w:val="nil"/>
              <w:right w:val="nil"/>
            </w:tcBorders>
          </w:tcPr>
          <w:p w14:paraId="68F4FC42" w14:textId="77777777" w:rsidR="003370CF" w:rsidRDefault="003370CF"/>
        </w:tc>
      </w:tr>
    </w:tbl>
    <w:p w14:paraId="1F412D50" w14:textId="77777777" w:rsidR="003370CF" w:rsidRDefault="003370CF"/>
    <w:p w14:paraId="227415E7" w14:textId="77777777" w:rsidR="003370CF" w:rsidRDefault="003370CF"/>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746"/>
        <w:gridCol w:w="2514"/>
      </w:tblGrid>
      <w:tr w:rsidR="003370CF" w14:paraId="1ED2ECC1" w14:textId="77777777">
        <w:trPr>
          <w:cantSplit/>
        </w:trPr>
        <w:tc>
          <w:tcPr>
            <w:tcW w:w="10800" w:type="dxa"/>
            <w:gridSpan w:val="3"/>
          </w:tcPr>
          <w:p w14:paraId="5A790F77" w14:textId="77777777" w:rsidR="003370CF" w:rsidRDefault="003370CF">
            <w:pPr>
              <w:pStyle w:val="Heading1"/>
            </w:pPr>
          </w:p>
          <w:p w14:paraId="71532C2F" w14:textId="77777777" w:rsidR="003370CF" w:rsidRDefault="003370CF">
            <w:pPr>
              <w:pStyle w:val="Heading1"/>
            </w:pPr>
            <w:r>
              <w:t xml:space="preserve">Part II: Applicability of Part 2.66 – </w:t>
            </w:r>
            <w:r>
              <w:rPr>
                <w:i/>
                <w:iCs/>
              </w:rPr>
              <w:t>Cotton Gins</w:t>
            </w:r>
          </w:p>
        </w:tc>
      </w:tr>
      <w:tr w:rsidR="003370CF" w14:paraId="3FCD503E" w14:textId="77777777">
        <w:tc>
          <w:tcPr>
            <w:tcW w:w="540" w:type="dxa"/>
          </w:tcPr>
          <w:p w14:paraId="1CD16E53" w14:textId="77777777" w:rsidR="003370CF" w:rsidRDefault="003370CF">
            <w:r>
              <w:t>1.</w:t>
            </w:r>
          </w:p>
        </w:tc>
        <w:tc>
          <w:tcPr>
            <w:tcW w:w="7746" w:type="dxa"/>
          </w:tcPr>
          <w:p w14:paraId="29822133" w14:textId="77777777" w:rsidR="003370CF" w:rsidRDefault="003370CF">
            <w:r>
              <w:t xml:space="preserve">By using this application supplement for cotton </w:t>
            </w:r>
            <w:proofErr w:type="gramStart"/>
            <w:r>
              <w:t>gins</w:t>
            </w:r>
            <w:proofErr w:type="gramEnd"/>
            <w:r>
              <w:t xml:space="preserve"> I am invoking the regulation Part 2.66 - </w:t>
            </w:r>
            <w:r>
              <w:rPr>
                <w:i/>
                <w:iCs/>
              </w:rPr>
              <w:t>Cotton Gins</w:t>
            </w:r>
            <w:r>
              <w:t>, and understand that by doing so this cotton ginning facility becomes subject to that regulation.</w:t>
            </w:r>
          </w:p>
        </w:tc>
        <w:tc>
          <w:tcPr>
            <w:tcW w:w="2514" w:type="dxa"/>
          </w:tcPr>
          <w:p w14:paraId="00405A1A" w14:textId="77777777" w:rsidR="003370CF" w:rsidRDefault="003370CF">
            <w:r>
              <w:sym w:font="Symbol" w:char="F07F"/>
            </w:r>
            <w:r>
              <w:t xml:space="preserve">Yes    </w:t>
            </w:r>
            <w:r>
              <w:sym w:font="Symbol" w:char="F07F"/>
            </w:r>
            <w:r>
              <w:t>No</w:t>
            </w:r>
          </w:p>
        </w:tc>
      </w:tr>
      <w:tr w:rsidR="003370CF" w14:paraId="4EFE9393" w14:textId="77777777">
        <w:tc>
          <w:tcPr>
            <w:tcW w:w="540" w:type="dxa"/>
          </w:tcPr>
          <w:p w14:paraId="428C283A" w14:textId="77777777" w:rsidR="003370CF" w:rsidRDefault="003370CF">
            <w:r>
              <w:t>2.</w:t>
            </w:r>
          </w:p>
        </w:tc>
        <w:tc>
          <w:tcPr>
            <w:tcW w:w="7746" w:type="dxa"/>
          </w:tcPr>
          <w:p w14:paraId="15F008CC" w14:textId="77777777" w:rsidR="003370CF" w:rsidRDefault="003370CF">
            <w:r>
              <w:t xml:space="preserve">The facility will emit no more than fifty (50) tons per year of any regulated air contaminant for which there is a national ambient air quality standard.  </w:t>
            </w:r>
            <w:r>
              <w:rPr>
                <w:i/>
                <w:iCs/>
              </w:rPr>
              <w:t>Note: Process rates must be included under Tables I-B (line 13) and VI-D of the Part 2.72 application, and emissions calculations must be included under Part IV of that application.  Emissions of TSP may be greater then 50 TPY.</w:t>
            </w:r>
          </w:p>
        </w:tc>
        <w:tc>
          <w:tcPr>
            <w:tcW w:w="2514" w:type="dxa"/>
          </w:tcPr>
          <w:p w14:paraId="348E37C7" w14:textId="77777777" w:rsidR="003370CF" w:rsidRDefault="003370CF">
            <w:r>
              <w:sym w:font="Symbol" w:char="F07F"/>
            </w:r>
            <w:r>
              <w:t xml:space="preserve">Yes    </w:t>
            </w:r>
            <w:r>
              <w:sym w:font="Symbol" w:char="F07F"/>
            </w:r>
            <w:r>
              <w:t>No</w:t>
            </w:r>
          </w:p>
        </w:tc>
      </w:tr>
      <w:tr w:rsidR="003370CF" w14:paraId="76BDDC25" w14:textId="77777777">
        <w:tc>
          <w:tcPr>
            <w:tcW w:w="540" w:type="dxa"/>
          </w:tcPr>
          <w:p w14:paraId="177056C8" w14:textId="77777777" w:rsidR="003370CF" w:rsidRDefault="003370CF">
            <w:r>
              <w:t>3.</w:t>
            </w:r>
          </w:p>
        </w:tc>
        <w:tc>
          <w:tcPr>
            <w:tcW w:w="7746" w:type="dxa"/>
          </w:tcPr>
          <w:p w14:paraId="4BBDEB1B" w14:textId="77777777" w:rsidR="003370CF" w:rsidRDefault="003370CF">
            <w:pPr>
              <w:rPr>
                <w:i/>
                <w:iCs/>
              </w:rPr>
            </w:pPr>
            <w:r>
              <w:t xml:space="preserve">Emission from all </w:t>
            </w:r>
            <w:proofErr w:type="gramStart"/>
            <w:r>
              <w:t>high pressure</w:t>
            </w:r>
            <w:proofErr w:type="gramEnd"/>
            <w:r>
              <w:t xml:space="preserve"> exhausts will be controlled by equipment of equivalent or higher control efficiency as high efficiency cyclone dust collectors (as defined in Part 2.66).  </w:t>
            </w:r>
            <w:r>
              <w:rPr>
                <w:i/>
                <w:iCs/>
              </w:rPr>
              <w:t>Note: Emissions control equipment must be listed in Table III-C of the Part 2.66 application.</w:t>
            </w:r>
          </w:p>
        </w:tc>
        <w:tc>
          <w:tcPr>
            <w:tcW w:w="2514" w:type="dxa"/>
          </w:tcPr>
          <w:p w14:paraId="4FF14A57" w14:textId="77777777" w:rsidR="003370CF" w:rsidRDefault="003370CF">
            <w:r>
              <w:sym w:font="Symbol" w:char="F07F"/>
            </w:r>
            <w:r>
              <w:t xml:space="preserve">Yes    </w:t>
            </w:r>
            <w:r>
              <w:sym w:font="Symbol" w:char="F07F"/>
            </w:r>
            <w:r>
              <w:t>No</w:t>
            </w:r>
          </w:p>
        </w:tc>
      </w:tr>
      <w:tr w:rsidR="003370CF" w14:paraId="499B9156" w14:textId="77777777">
        <w:tc>
          <w:tcPr>
            <w:tcW w:w="540" w:type="dxa"/>
          </w:tcPr>
          <w:p w14:paraId="6CB370E6" w14:textId="77777777" w:rsidR="003370CF" w:rsidRDefault="003370CF">
            <w:r>
              <w:t>4.</w:t>
            </w:r>
          </w:p>
        </w:tc>
        <w:tc>
          <w:tcPr>
            <w:tcW w:w="7746" w:type="dxa"/>
          </w:tcPr>
          <w:p w14:paraId="3AFF1254" w14:textId="77777777" w:rsidR="003370CF" w:rsidRDefault="003370CF">
            <w:r>
              <w:t xml:space="preserve">Emission from all </w:t>
            </w:r>
            <w:proofErr w:type="gramStart"/>
            <w:r>
              <w:t>low pressure</w:t>
            </w:r>
            <w:proofErr w:type="gramEnd"/>
            <w:r>
              <w:t xml:space="preserve"> exhausts will be controlled by equipment of equivalent or higher control efficiency as screens with a mesh size of 70 by 70 or condenser drums with holes not exceeding 0.045 inches in diameter.</w:t>
            </w:r>
            <w:r>
              <w:rPr>
                <w:i/>
                <w:iCs/>
              </w:rPr>
              <w:t xml:space="preserve"> Note: Emissions control equipment must be listed in Table III-C of the Part 2.66 application.</w:t>
            </w:r>
          </w:p>
        </w:tc>
        <w:tc>
          <w:tcPr>
            <w:tcW w:w="2514" w:type="dxa"/>
          </w:tcPr>
          <w:p w14:paraId="666EF435" w14:textId="77777777" w:rsidR="003370CF" w:rsidRDefault="003370CF">
            <w:r>
              <w:sym w:font="Symbol" w:char="F07F"/>
            </w:r>
            <w:r>
              <w:t xml:space="preserve">Yes    </w:t>
            </w:r>
            <w:r>
              <w:sym w:font="Symbol" w:char="F07F"/>
            </w:r>
            <w:r>
              <w:t>No</w:t>
            </w:r>
          </w:p>
        </w:tc>
      </w:tr>
      <w:tr w:rsidR="003370CF" w14:paraId="4612E0AA" w14:textId="77777777">
        <w:tc>
          <w:tcPr>
            <w:tcW w:w="540" w:type="dxa"/>
          </w:tcPr>
          <w:p w14:paraId="70236249" w14:textId="77777777" w:rsidR="003370CF" w:rsidRDefault="003370CF">
            <w:r>
              <w:t>5.</w:t>
            </w:r>
          </w:p>
        </w:tc>
        <w:tc>
          <w:tcPr>
            <w:tcW w:w="7746" w:type="dxa"/>
          </w:tcPr>
          <w:p w14:paraId="187E86C1" w14:textId="77777777" w:rsidR="003370CF" w:rsidRDefault="003370CF">
            <w:r>
              <w:t>The opacity of emissions from high pressure exhausts, low pressure exhausts, and fuel burning equipment such as driers and humidifiers (but not mobile sources such as loaders, haul trucks, and other vehicles) will not exceed 20%.</w:t>
            </w:r>
          </w:p>
        </w:tc>
        <w:tc>
          <w:tcPr>
            <w:tcW w:w="2514" w:type="dxa"/>
          </w:tcPr>
          <w:p w14:paraId="490453E2" w14:textId="77777777" w:rsidR="003370CF" w:rsidRDefault="003370CF">
            <w:r>
              <w:sym w:font="Symbol" w:char="F07F"/>
            </w:r>
            <w:r>
              <w:t xml:space="preserve">Yes    </w:t>
            </w:r>
            <w:r>
              <w:sym w:font="Symbol" w:char="F07F"/>
            </w:r>
            <w:r>
              <w:t>No</w:t>
            </w:r>
          </w:p>
        </w:tc>
      </w:tr>
      <w:tr w:rsidR="003370CF" w14:paraId="7482A1F0" w14:textId="77777777">
        <w:tc>
          <w:tcPr>
            <w:tcW w:w="540" w:type="dxa"/>
          </w:tcPr>
          <w:p w14:paraId="5D41B23F" w14:textId="77777777" w:rsidR="003370CF" w:rsidRDefault="003370CF">
            <w:r>
              <w:t>6.</w:t>
            </w:r>
          </w:p>
        </w:tc>
        <w:tc>
          <w:tcPr>
            <w:tcW w:w="7746" w:type="dxa"/>
          </w:tcPr>
          <w:p w14:paraId="3C600895" w14:textId="77777777" w:rsidR="003370CF" w:rsidRDefault="003370CF">
            <w:r>
              <w:t>All burr hoppers will be enclosed.</w:t>
            </w:r>
            <w:r>
              <w:rPr>
                <w:i/>
                <w:iCs/>
              </w:rPr>
              <w:t xml:space="preserve"> Note: Emissions control equipment must be listed in Table III-C of the Part 2.66 application.</w:t>
            </w:r>
          </w:p>
        </w:tc>
        <w:tc>
          <w:tcPr>
            <w:tcW w:w="2514" w:type="dxa"/>
          </w:tcPr>
          <w:p w14:paraId="4B3612F8" w14:textId="77777777" w:rsidR="003370CF" w:rsidRDefault="003370CF">
            <w:r>
              <w:sym w:font="Symbol" w:char="F07F"/>
            </w:r>
            <w:r>
              <w:t xml:space="preserve">Yes    </w:t>
            </w:r>
            <w:r>
              <w:sym w:font="Symbol" w:char="F07F"/>
            </w:r>
            <w:r>
              <w:t>No</w:t>
            </w:r>
          </w:p>
        </w:tc>
      </w:tr>
      <w:tr w:rsidR="003370CF" w14:paraId="3B6C613B" w14:textId="77777777">
        <w:tc>
          <w:tcPr>
            <w:tcW w:w="540" w:type="dxa"/>
          </w:tcPr>
          <w:p w14:paraId="528B58F7" w14:textId="77777777" w:rsidR="003370CF" w:rsidRDefault="003370CF">
            <w:r>
              <w:t>7.</w:t>
            </w:r>
          </w:p>
        </w:tc>
        <w:tc>
          <w:tcPr>
            <w:tcW w:w="7746" w:type="dxa"/>
          </w:tcPr>
          <w:p w14:paraId="46E0E168" w14:textId="77777777" w:rsidR="003370CF" w:rsidRDefault="003370CF">
            <w:r>
              <w:t xml:space="preserve">Measures will be taken to control fugitive dust emissions from any source, process or operation occurring within the cotton gin building to assure that no fugitive dust emissions to the outside atmosphere from any door, vent, or window are visible.  </w:t>
            </w:r>
            <w:r>
              <w:rPr>
                <w:i/>
                <w:iCs/>
              </w:rPr>
              <w:t>Note: A description of these measures must be attached.</w:t>
            </w:r>
          </w:p>
        </w:tc>
        <w:tc>
          <w:tcPr>
            <w:tcW w:w="2514" w:type="dxa"/>
          </w:tcPr>
          <w:p w14:paraId="3C343F47" w14:textId="77777777" w:rsidR="003370CF" w:rsidRDefault="003370CF">
            <w:r>
              <w:sym w:font="Symbol" w:char="F07F"/>
            </w:r>
            <w:r>
              <w:t xml:space="preserve">Yes    </w:t>
            </w:r>
            <w:r>
              <w:sym w:font="Symbol" w:char="F07F"/>
            </w:r>
            <w:r>
              <w:t>No</w:t>
            </w:r>
          </w:p>
        </w:tc>
      </w:tr>
      <w:tr w:rsidR="003370CF" w14:paraId="08F71BE9" w14:textId="77777777">
        <w:tc>
          <w:tcPr>
            <w:tcW w:w="540" w:type="dxa"/>
          </w:tcPr>
          <w:p w14:paraId="47DAF77D" w14:textId="77777777" w:rsidR="003370CF" w:rsidRDefault="003370CF">
            <w:r>
              <w:lastRenderedPageBreak/>
              <w:t>8.</w:t>
            </w:r>
          </w:p>
        </w:tc>
        <w:tc>
          <w:tcPr>
            <w:tcW w:w="7746" w:type="dxa"/>
          </w:tcPr>
          <w:p w14:paraId="36555532" w14:textId="77777777" w:rsidR="003370CF" w:rsidRDefault="003370CF">
            <w:r>
              <w:t xml:space="preserve">Measures will be taken to minimize fugitive emissions from the handling, transportation or disposition of any substance or material that is likely to be scattered by the air or wind at the facility, including but not limited to materials in the gin yard and haul roads, including all open areas, right-of ways, storage piles, and vehicles at the facility.  Such measures will be sufficient to assure that no visible fugitive dust emissions generated from the property leave the property.  </w:t>
            </w:r>
            <w:r>
              <w:rPr>
                <w:i/>
                <w:iCs/>
              </w:rPr>
              <w:t>Note: A description of these measures must be attached.  Emissions may be controlled by watering, paving and cleaning, surfactants, or other equivalent means.</w:t>
            </w:r>
          </w:p>
        </w:tc>
        <w:tc>
          <w:tcPr>
            <w:tcW w:w="2514" w:type="dxa"/>
          </w:tcPr>
          <w:p w14:paraId="02B23064" w14:textId="77777777" w:rsidR="003370CF" w:rsidRDefault="003370CF">
            <w:r>
              <w:sym w:font="Symbol" w:char="F07F"/>
            </w:r>
            <w:r>
              <w:t xml:space="preserve">Yes    </w:t>
            </w:r>
            <w:r>
              <w:sym w:font="Symbol" w:char="F07F"/>
            </w:r>
            <w:r>
              <w:t>No</w:t>
            </w:r>
          </w:p>
        </w:tc>
      </w:tr>
      <w:tr w:rsidR="003370CF" w14:paraId="689D97E5" w14:textId="77777777">
        <w:tc>
          <w:tcPr>
            <w:tcW w:w="540" w:type="dxa"/>
          </w:tcPr>
          <w:p w14:paraId="0AF67A3D" w14:textId="77777777" w:rsidR="003370CF" w:rsidRDefault="003370CF">
            <w:r>
              <w:t>9.</w:t>
            </w:r>
          </w:p>
        </w:tc>
        <w:tc>
          <w:tcPr>
            <w:tcW w:w="7746" w:type="dxa"/>
          </w:tcPr>
          <w:p w14:paraId="2CBC304C" w14:textId="77777777" w:rsidR="003370CF" w:rsidRDefault="003370CF">
            <w:r>
              <w:t>The posted speed limit for all vehicles on unpaved haul roads and in unpaved yard areas will be 10 miles per hour or less.</w:t>
            </w:r>
          </w:p>
        </w:tc>
        <w:tc>
          <w:tcPr>
            <w:tcW w:w="2514" w:type="dxa"/>
          </w:tcPr>
          <w:p w14:paraId="4A959C64" w14:textId="77777777" w:rsidR="003370CF" w:rsidRDefault="003370CF">
            <w:r>
              <w:sym w:font="Symbol" w:char="F07F"/>
            </w:r>
            <w:r>
              <w:t xml:space="preserve">Yes    </w:t>
            </w:r>
            <w:r>
              <w:sym w:font="Symbol" w:char="F07F"/>
            </w:r>
            <w:r>
              <w:t>No</w:t>
            </w:r>
          </w:p>
        </w:tc>
      </w:tr>
      <w:tr w:rsidR="003370CF" w14:paraId="4D5EE550" w14:textId="77777777">
        <w:tc>
          <w:tcPr>
            <w:tcW w:w="540" w:type="dxa"/>
          </w:tcPr>
          <w:p w14:paraId="00D917CB" w14:textId="77777777" w:rsidR="003370CF" w:rsidRDefault="003370CF">
            <w:r>
              <w:t>10.</w:t>
            </w:r>
          </w:p>
        </w:tc>
        <w:tc>
          <w:tcPr>
            <w:tcW w:w="7746" w:type="dxa"/>
          </w:tcPr>
          <w:p w14:paraId="237273EE" w14:textId="77777777" w:rsidR="003370CF" w:rsidRDefault="003370CF">
            <w:pPr>
              <w:rPr>
                <w:i/>
                <w:iCs/>
              </w:rPr>
            </w:pPr>
            <w:r>
              <w:t xml:space="preserve">The facility will use only the following fuels: natural gas, liquefied petroleum gas (LPG), propane, or No. 2 diesel fuel with a sulfur content equal to or less than 0.05 percent by weight. </w:t>
            </w:r>
            <w:r>
              <w:rPr>
                <w:i/>
                <w:iCs/>
              </w:rPr>
              <w:t xml:space="preserve"> Note: Fuel information must be included in Part V of the Part 2.72 application.</w:t>
            </w:r>
          </w:p>
        </w:tc>
        <w:tc>
          <w:tcPr>
            <w:tcW w:w="2514" w:type="dxa"/>
          </w:tcPr>
          <w:p w14:paraId="78D6393E" w14:textId="77777777" w:rsidR="003370CF" w:rsidRDefault="003370CF">
            <w:r>
              <w:sym w:font="Symbol" w:char="F07F"/>
            </w:r>
            <w:r>
              <w:t xml:space="preserve">Yes    </w:t>
            </w:r>
            <w:r>
              <w:sym w:font="Symbol" w:char="F07F"/>
            </w:r>
            <w:r>
              <w:t>No</w:t>
            </w:r>
          </w:p>
        </w:tc>
      </w:tr>
      <w:tr w:rsidR="003370CF" w14:paraId="6C80D648" w14:textId="77777777">
        <w:tc>
          <w:tcPr>
            <w:tcW w:w="540" w:type="dxa"/>
          </w:tcPr>
          <w:p w14:paraId="4C9011F1" w14:textId="77777777" w:rsidR="003370CF" w:rsidRDefault="003370CF">
            <w:r>
              <w:t>11.</w:t>
            </w:r>
          </w:p>
        </w:tc>
        <w:tc>
          <w:tcPr>
            <w:tcW w:w="7746" w:type="dxa"/>
          </w:tcPr>
          <w:p w14:paraId="4E0D2942" w14:textId="77777777" w:rsidR="003370CF" w:rsidRDefault="003370CF">
            <w:r>
              <w:t>All equipment will be installed, operated and maintained in such manners that permit conditions and the requirements of Part 2.66 are met.</w:t>
            </w:r>
          </w:p>
        </w:tc>
        <w:tc>
          <w:tcPr>
            <w:tcW w:w="2514" w:type="dxa"/>
          </w:tcPr>
          <w:p w14:paraId="69F4B997" w14:textId="77777777" w:rsidR="003370CF" w:rsidRDefault="003370CF">
            <w:r>
              <w:sym w:font="Symbol" w:char="F07F"/>
            </w:r>
            <w:r>
              <w:t xml:space="preserve">Yes    </w:t>
            </w:r>
            <w:r>
              <w:sym w:font="Symbol" w:char="F07F"/>
            </w:r>
            <w:r>
              <w:t>No</w:t>
            </w:r>
          </w:p>
        </w:tc>
      </w:tr>
      <w:tr w:rsidR="003370CF" w14:paraId="3F2C09F1" w14:textId="77777777">
        <w:tc>
          <w:tcPr>
            <w:tcW w:w="540" w:type="dxa"/>
          </w:tcPr>
          <w:p w14:paraId="25A96EBC" w14:textId="77777777" w:rsidR="003370CF" w:rsidRDefault="003370CF">
            <w:r>
              <w:t>12.</w:t>
            </w:r>
          </w:p>
        </w:tc>
        <w:tc>
          <w:tcPr>
            <w:tcW w:w="7746" w:type="dxa"/>
          </w:tcPr>
          <w:p w14:paraId="7009EF65" w14:textId="77777777" w:rsidR="003370CF" w:rsidRDefault="003370CF">
            <w:r>
              <w:t>The owner or operator will conduct daily visual inspection of the material handling systems for leaks, breaks or other visible signs of equipment malfunctions, and repair such leaks, breaks or malfunctions in a timely manner.</w:t>
            </w:r>
          </w:p>
        </w:tc>
        <w:tc>
          <w:tcPr>
            <w:tcW w:w="2514" w:type="dxa"/>
          </w:tcPr>
          <w:p w14:paraId="4831F25F" w14:textId="77777777" w:rsidR="003370CF" w:rsidRDefault="003370CF">
            <w:r>
              <w:sym w:font="Symbol" w:char="F07F"/>
            </w:r>
            <w:r>
              <w:t xml:space="preserve">Yes    </w:t>
            </w:r>
            <w:r>
              <w:sym w:font="Symbol" w:char="F07F"/>
            </w:r>
            <w:r>
              <w:t>No</w:t>
            </w:r>
          </w:p>
        </w:tc>
      </w:tr>
      <w:tr w:rsidR="003370CF" w14:paraId="60107D67" w14:textId="77777777">
        <w:tc>
          <w:tcPr>
            <w:tcW w:w="540" w:type="dxa"/>
          </w:tcPr>
          <w:p w14:paraId="17863DD1" w14:textId="77777777" w:rsidR="003370CF" w:rsidRDefault="003370CF">
            <w:r>
              <w:t>13.</w:t>
            </w:r>
          </w:p>
        </w:tc>
        <w:tc>
          <w:tcPr>
            <w:tcW w:w="7746" w:type="dxa"/>
          </w:tcPr>
          <w:p w14:paraId="13FE378C" w14:textId="77777777" w:rsidR="003370CF" w:rsidRDefault="003370CF">
            <w:r>
              <w:t>The owner or operator will maintain a record of the daily inspections, including any equipment malfunctions discovered and corrective action taken to repair the malfunction.</w:t>
            </w:r>
          </w:p>
        </w:tc>
        <w:tc>
          <w:tcPr>
            <w:tcW w:w="2514" w:type="dxa"/>
          </w:tcPr>
          <w:p w14:paraId="1AA5A751" w14:textId="77777777" w:rsidR="003370CF" w:rsidRDefault="003370CF">
            <w:r>
              <w:sym w:font="Symbol" w:char="F07F"/>
            </w:r>
            <w:r>
              <w:t xml:space="preserve">Yes    </w:t>
            </w:r>
            <w:r>
              <w:sym w:font="Symbol" w:char="F07F"/>
            </w:r>
            <w:r>
              <w:t>No</w:t>
            </w:r>
          </w:p>
        </w:tc>
      </w:tr>
      <w:tr w:rsidR="003370CF" w14:paraId="7CC2B304" w14:textId="77777777">
        <w:tc>
          <w:tcPr>
            <w:tcW w:w="540" w:type="dxa"/>
          </w:tcPr>
          <w:p w14:paraId="73A7D459" w14:textId="77777777" w:rsidR="003370CF" w:rsidRDefault="003370CF">
            <w:r>
              <w:t>14.</w:t>
            </w:r>
          </w:p>
        </w:tc>
        <w:tc>
          <w:tcPr>
            <w:tcW w:w="7746" w:type="dxa"/>
          </w:tcPr>
          <w:p w14:paraId="088A44CF" w14:textId="77777777" w:rsidR="003370CF" w:rsidRDefault="003370CF">
            <w:r>
              <w:t xml:space="preserve">The distance from the cotton gin building to the property boundary will be at least ten (10) feet in all directions. </w:t>
            </w:r>
            <w:r>
              <w:rPr>
                <w:i/>
                <w:iCs/>
              </w:rPr>
              <w:t xml:space="preserve"> Note:  The minimum distance between the gin building and the nearest property boundary must be included in Part I above.  </w:t>
            </w:r>
          </w:p>
        </w:tc>
        <w:tc>
          <w:tcPr>
            <w:tcW w:w="2514" w:type="dxa"/>
          </w:tcPr>
          <w:p w14:paraId="3B7E7105" w14:textId="77777777" w:rsidR="003370CF" w:rsidRDefault="003370CF">
            <w:r>
              <w:sym w:font="Symbol" w:char="F07F"/>
            </w:r>
            <w:r>
              <w:t xml:space="preserve">Yes    </w:t>
            </w:r>
            <w:r>
              <w:sym w:font="Symbol" w:char="F07F"/>
            </w:r>
            <w:r>
              <w:t>No</w:t>
            </w:r>
          </w:p>
        </w:tc>
      </w:tr>
      <w:tr w:rsidR="003370CF" w14:paraId="0CD6687C" w14:textId="77777777">
        <w:tc>
          <w:tcPr>
            <w:tcW w:w="540" w:type="dxa"/>
          </w:tcPr>
          <w:p w14:paraId="545A975D" w14:textId="77777777" w:rsidR="003370CF" w:rsidRDefault="003370CF">
            <w:r>
              <w:t>15.</w:t>
            </w:r>
          </w:p>
        </w:tc>
        <w:tc>
          <w:tcPr>
            <w:tcW w:w="7746" w:type="dxa"/>
          </w:tcPr>
          <w:p w14:paraId="326DAED1" w14:textId="77777777" w:rsidR="003370CF" w:rsidRDefault="003370CF">
            <w:r>
              <w:t xml:space="preserve">The distance (in feet) in all directions from the cotton gin stacks and vents to the property boundary will be at least as large as the following: </w:t>
            </w:r>
          </w:p>
          <w:p w14:paraId="34D84E36" w14:textId="77777777" w:rsidR="003370CF" w:rsidRDefault="003370CF">
            <w:r>
              <w:t>Distance &gt;= 0.2385 X</w:t>
            </w:r>
            <w:r>
              <w:rPr>
                <w:vertAlign w:val="superscript"/>
              </w:rPr>
              <w:t>2</w:t>
            </w:r>
            <w:r>
              <w:t xml:space="preserve"> + 54.0718 X - 816.0886</w:t>
            </w:r>
          </w:p>
          <w:p w14:paraId="693D2FA0" w14:textId="77777777" w:rsidR="003370CF" w:rsidRDefault="003370CF">
            <w:r>
              <w:t>where X = the maximum emission rate (in lb PM10/hour) from all stacks and vents combined.</w:t>
            </w:r>
          </w:p>
          <w:p w14:paraId="6B590E4D" w14:textId="77777777" w:rsidR="003370CF" w:rsidRDefault="003370CF">
            <w:pPr>
              <w:rPr>
                <w:i/>
                <w:iCs/>
              </w:rPr>
            </w:pPr>
            <w:r>
              <w:rPr>
                <w:i/>
                <w:iCs/>
              </w:rPr>
              <w:t>Note:  Calculations must be attached.  The minimum distance between the stacks/vent and the nearest property boundary must be included in Part I above.  In addition, emissions calculations must be included under Part IV of the Part 2.72 application.</w:t>
            </w:r>
          </w:p>
        </w:tc>
        <w:tc>
          <w:tcPr>
            <w:tcW w:w="2514" w:type="dxa"/>
          </w:tcPr>
          <w:p w14:paraId="52867F81" w14:textId="77777777" w:rsidR="003370CF" w:rsidRDefault="003370CF">
            <w:r>
              <w:sym w:font="Symbol" w:char="F07F"/>
            </w:r>
            <w:r>
              <w:t xml:space="preserve">Yes    </w:t>
            </w:r>
            <w:r>
              <w:sym w:font="Symbol" w:char="F07F"/>
            </w:r>
            <w:r>
              <w:t>No</w:t>
            </w:r>
          </w:p>
        </w:tc>
      </w:tr>
      <w:tr w:rsidR="003370CF" w14:paraId="25AC2ED4" w14:textId="77777777">
        <w:tc>
          <w:tcPr>
            <w:tcW w:w="540" w:type="dxa"/>
          </w:tcPr>
          <w:p w14:paraId="187310C0" w14:textId="77777777" w:rsidR="003370CF" w:rsidRDefault="003370CF">
            <w:r>
              <w:t>16.</w:t>
            </w:r>
          </w:p>
        </w:tc>
        <w:tc>
          <w:tcPr>
            <w:tcW w:w="7746" w:type="dxa"/>
          </w:tcPr>
          <w:p w14:paraId="115655F7" w14:textId="77777777" w:rsidR="003370CF" w:rsidRDefault="003370CF">
            <w:r>
              <w:t xml:space="preserve">The distance from the cotton gin to the nearest existing state park, recreation area, or school will be at least 0.25 miles.  </w:t>
            </w:r>
          </w:p>
        </w:tc>
        <w:tc>
          <w:tcPr>
            <w:tcW w:w="2514" w:type="dxa"/>
          </w:tcPr>
          <w:p w14:paraId="382CB1C2" w14:textId="77777777" w:rsidR="003370CF" w:rsidRDefault="003370CF">
            <w:r>
              <w:sym w:font="Symbol" w:char="F07F"/>
            </w:r>
            <w:r>
              <w:t xml:space="preserve">Yes    </w:t>
            </w:r>
            <w:r>
              <w:sym w:font="Symbol" w:char="F07F"/>
            </w:r>
            <w:r>
              <w:t>No</w:t>
            </w:r>
          </w:p>
        </w:tc>
      </w:tr>
      <w:tr w:rsidR="003370CF" w14:paraId="77A8E92A" w14:textId="77777777">
        <w:tc>
          <w:tcPr>
            <w:tcW w:w="540" w:type="dxa"/>
          </w:tcPr>
          <w:p w14:paraId="598D3C34" w14:textId="77777777" w:rsidR="003370CF" w:rsidRDefault="003370CF">
            <w:r>
              <w:t>17.</w:t>
            </w:r>
          </w:p>
        </w:tc>
        <w:tc>
          <w:tcPr>
            <w:tcW w:w="7746" w:type="dxa"/>
          </w:tcPr>
          <w:p w14:paraId="1A4B71C8" w14:textId="77777777" w:rsidR="003370CF" w:rsidRDefault="003370CF">
            <w:r>
              <w:t>The distance from the cotton gin to the nearest class I area will be at least three miles.</w:t>
            </w:r>
          </w:p>
        </w:tc>
        <w:tc>
          <w:tcPr>
            <w:tcW w:w="2514" w:type="dxa"/>
          </w:tcPr>
          <w:p w14:paraId="5B58C5CB" w14:textId="77777777" w:rsidR="003370CF" w:rsidRDefault="003370CF">
            <w:r>
              <w:sym w:font="Symbol" w:char="F07F"/>
            </w:r>
            <w:r>
              <w:t xml:space="preserve">Yes    </w:t>
            </w:r>
            <w:r>
              <w:sym w:font="Symbol" w:char="F07F"/>
            </w:r>
            <w:r>
              <w:t>No</w:t>
            </w:r>
          </w:p>
        </w:tc>
      </w:tr>
    </w:tbl>
    <w:p w14:paraId="2605EA18" w14:textId="3742FBAF" w:rsidR="003370CF" w:rsidRDefault="003370CF"/>
    <w:p w14:paraId="4A101CCF" w14:textId="77777777" w:rsidR="00FF52E8" w:rsidRDefault="00FF52E8">
      <w:pPr>
        <w:rPr>
          <w:sz w:val="28"/>
          <w:szCs w:val="28"/>
        </w:rPr>
      </w:pPr>
      <w:bookmarkStart w:id="0" w:name="_Hlk111132327"/>
      <w:r>
        <w:rPr>
          <w:sz w:val="28"/>
          <w:szCs w:val="28"/>
        </w:rPr>
        <w:br w:type="page"/>
      </w:r>
    </w:p>
    <w:p w14:paraId="5E746BCB" w14:textId="35F9C53A" w:rsidR="00FF52E8" w:rsidRPr="00D37452" w:rsidRDefault="00FF52E8" w:rsidP="00FF52E8">
      <w:pPr>
        <w:rPr>
          <w:color w:val="FF0000"/>
          <w:sz w:val="28"/>
          <w:szCs w:val="28"/>
        </w:rPr>
      </w:pPr>
      <w:r w:rsidRPr="00D37452">
        <w:rPr>
          <w:sz w:val="28"/>
          <w:szCs w:val="28"/>
        </w:rPr>
        <w:lastRenderedPageBreak/>
        <w:t>Change Log</w:t>
      </w:r>
      <w:r>
        <w:rPr>
          <w:sz w:val="28"/>
          <w:szCs w:val="28"/>
        </w:rPr>
        <w:t xml:space="preserve"> – </w:t>
      </w:r>
      <w:r w:rsidRPr="00C052DE">
        <w:rPr>
          <w:sz w:val="28"/>
          <w:szCs w:val="28"/>
        </w:rPr>
        <w:t xml:space="preserve">Do </w:t>
      </w:r>
      <w:r w:rsidRPr="00C052DE">
        <w:rPr>
          <w:b/>
          <w:bCs/>
          <w:sz w:val="28"/>
          <w:szCs w:val="28"/>
        </w:rPr>
        <w:t>not</w:t>
      </w:r>
      <w:r w:rsidRPr="00C052DE">
        <w:rPr>
          <w:sz w:val="28"/>
          <w:szCs w:val="28"/>
        </w:rPr>
        <w:t xml:space="preserve"> submit this page with your application.</w:t>
      </w:r>
    </w:p>
    <w:p w14:paraId="33583B24" w14:textId="77777777" w:rsidR="00FF52E8" w:rsidRPr="00D37452" w:rsidRDefault="00FF52E8" w:rsidP="00FF52E8">
      <w:pPr>
        <w:rPr>
          <w:sz w:val="28"/>
          <w:szCs w:val="28"/>
        </w:rPr>
      </w:pPr>
    </w:p>
    <w:p w14:paraId="5AE1993C" w14:textId="77777777" w:rsidR="00FF52E8" w:rsidRPr="00D37452" w:rsidRDefault="00FF52E8" w:rsidP="00FF52E8">
      <w:r w:rsidRPr="00D37452">
        <w:t>If you are using a form older than the most current form</w:t>
      </w:r>
      <w:r>
        <w:t xml:space="preserve"> posted on the website</w:t>
      </w:r>
      <w:r w:rsidRPr="00D37452">
        <w:t>, you are required to incorporate</w:t>
      </w:r>
      <w:r>
        <w:t xml:space="preserve"> the</w:t>
      </w:r>
      <w:r w:rsidRPr="00D37452">
        <w:t xml:space="preserve"> changes listed. Periodically, AQB will announce when older form versions will no longer be accepted.  </w:t>
      </w:r>
    </w:p>
    <w:tbl>
      <w:tblPr>
        <w:tblStyle w:val="TableGrid"/>
        <w:tblW w:w="0" w:type="auto"/>
        <w:tblLook w:val="04A0" w:firstRow="1" w:lastRow="0" w:firstColumn="1" w:lastColumn="0" w:noHBand="0" w:noVBand="1"/>
      </w:tblPr>
      <w:tblGrid>
        <w:gridCol w:w="2284"/>
        <w:gridCol w:w="6346"/>
      </w:tblGrid>
      <w:tr w:rsidR="00FF52E8" w:rsidRPr="00D37452" w14:paraId="3ADFC13A" w14:textId="77777777" w:rsidTr="000D7385">
        <w:tc>
          <w:tcPr>
            <w:tcW w:w="2538" w:type="dxa"/>
            <w:shd w:val="clear" w:color="auto" w:fill="E7E6E6" w:themeFill="background2"/>
          </w:tcPr>
          <w:p w14:paraId="1BC085BD" w14:textId="77777777" w:rsidR="00FF52E8" w:rsidRPr="00D37452" w:rsidRDefault="00FF52E8" w:rsidP="000D7385">
            <w:pPr>
              <w:rPr>
                <w:rFonts w:ascii="Times New Roman" w:hAnsi="Times New Roman"/>
              </w:rPr>
            </w:pPr>
            <w:r w:rsidRPr="00D37452">
              <w:rPr>
                <w:rFonts w:ascii="Times New Roman" w:hAnsi="Times New Roman"/>
              </w:rPr>
              <w:t>Version Date</w:t>
            </w:r>
          </w:p>
        </w:tc>
        <w:tc>
          <w:tcPr>
            <w:tcW w:w="7297" w:type="dxa"/>
            <w:shd w:val="clear" w:color="auto" w:fill="E7E6E6" w:themeFill="background2"/>
          </w:tcPr>
          <w:p w14:paraId="43D76F90" w14:textId="77777777" w:rsidR="00FF52E8" w:rsidRPr="00D37452" w:rsidRDefault="00FF52E8" w:rsidP="000D7385">
            <w:pPr>
              <w:rPr>
                <w:rFonts w:ascii="Times New Roman" w:hAnsi="Times New Roman"/>
              </w:rPr>
            </w:pPr>
            <w:r w:rsidRPr="00D37452">
              <w:rPr>
                <w:rFonts w:ascii="Times New Roman" w:hAnsi="Times New Roman"/>
              </w:rPr>
              <w:t>Changes Incorporated</w:t>
            </w:r>
          </w:p>
        </w:tc>
      </w:tr>
      <w:tr w:rsidR="00FF52E8" w:rsidRPr="00D37452" w14:paraId="55E3C990" w14:textId="77777777" w:rsidTr="000D7385">
        <w:tc>
          <w:tcPr>
            <w:tcW w:w="2538" w:type="dxa"/>
          </w:tcPr>
          <w:p w14:paraId="3504A6B6" w14:textId="72B8C66F" w:rsidR="00FF52E8" w:rsidRPr="00D37452" w:rsidRDefault="00FF52E8" w:rsidP="000D7385">
            <w:pPr>
              <w:rPr>
                <w:rFonts w:ascii="Times New Roman" w:hAnsi="Times New Roman"/>
              </w:rPr>
            </w:pPr>
            <w:r>
              <w:rPr>
                <w:rFonts w:ascii="Times New Roman" w:hAnsi="Times New Roman"/>
              </w:rPr>
              <w:t>April 9, 2013</w:t>
            </w:r>
          </w:p>
        </w:tc>
        <w:tc>
          <w:tcPr>
            <w:tcW w:w="7297" w:type="dxa"/>
          </w:tcPr>
          <w:p w14:paraId="0E7C6964" w14:textId="3937418C" w:rsidR="00FF52E8" w:rsidRPr="00D37452" w:rsidRDefault="00FF52E8" w:rsidP="000D7385">
            <w:pPr>
              <w:rPr>
                <w:rFonts w:ascii="Times New Roman" w:hAnsi="Times New Roman"/>
              </w:rPr>
            </w:pPr>
            <w:r>
              <w:rPr>
                <w:rFonts w:ascii="Times New Roman" w:hAnsi="Times New Roman"/>
              </w:rPr>
              <w:t xml:space="preserve">Current version of this form. </w:t>
            </w:r>
          </w:p>
        </w:tc>
      </w:tr>
      <w:tr w:rsidR="00FF52E8" w:rsidRPr="00D37452" w14:paraId="20F45536" w14:textId="77777777" w:rsidTr="000D7385">
        <w:tc>
          <w:tcPr>
            <w:tcW w:w="2538" w:type="dxa"/>
          </w:tcPr>
          <w:p w14:paraId="1EB887E9" w14:textId="77777777" w:rsidR="00FF52E8" w:rsidRPr="00D37452" w:rsidRDefault="00FF52E8" w:rsidP="000D7385">
            <w:pPr>
              <w:rPr>
                <w:rFonts w:ascii="Times New Roman" w:hAnsi="Times New Roman"/>
              </w:rPr>
            </w:pPr>
          </w:p>
        </w:tc>
        <w:tc>
          <w:tcPr>
            <w:tcW w:w="7297" w:type="dxa"/>
          </w:tcPr>
          <w:p w14:paraId="2842AD05" w14:textId="77777777" w:rsidR="00FF52E8" w:rsidRPr="00D37452" w:rsidRDefault="00FF52E8" w:rsidP="000D7385">
            <w:pPr>
              <w:rPr>
                <w:rFonts w:ascii="Times New Roman" w:hAnsi="Times New Roman"/>
              </w:rPr>
            </w:pPr>
          </w:p>
        </w:tc>
      </w:tr>
      <w:tr w:rsidR="00FF52E8" w:rsidRPr="00D37452" w14:paraId="44D79932" w14:textId="77777777" w:rsidTr="000D7385">
        <w:tc>
          <w:tcPr>
            <w:tcW w:w="2538" w:type="dxa"/>
          </w:tcPr>
          <w:p w14:paraId="5875BB87" w14:textId="77777777" w:rsidR="00FF52E8" w:rsidRPr="00D37452" w:rsidRDefault="00FF52E8" w:rsidP="000D7385">
            <w:pPr>
              <w:rPr>
                <w:rFonts w:ascii="Times New Roman" w:hAnsi="Times New Roman"/>
              </w:rPr>
            </w:pPr>
          </w:p>
        </w:tc>
        <w:tc>
          <w:tcPr>
            <w:tcW w:w="7297" w:type="dxa"/>
          </w:tcPr>
          <w:p w14:paraId="37A80BC0" w14:textId="77777777" w:rsidR="00FF52E8" w:rsidRPr="00D37452" w:rsidRDefault="00FF52E8" w:rsidP="000D7385">
            <w:pPr>
              <w:rPr>
                <w:rFonts w:ascii="Times New Roman" w:hAnsi="Times New Roman"/>
              </w:rPr>
            </w:pPr>
          </w:p>
        </w:tc>
      </w:tr>
      <w:tr w:rsidR="00FF52E8" w:rsidRPr="00D37452" w14:paraId="7F47BDF2" w14:textId="77777777" w:rsidTr="000D7385">
        <w:tc>
          <w:tcPr>
            <w:tcW w:w="2538" w:type="dxa"/>
          </w:tcPr>
          <w:p w14:paraId="1E1CE1D7" w14:textId="77777777" w:rsidR="00FF52E8" w:rsidRPr="00D37452" w:rsidRDefault="00FF52E8" w:rsidP="000D7385">
            <w:pPr>
              <w:rPr>
                <w:rFonts w:ascii="Times New Roman" w:hAnsi="Times New Roman"/>
              </w:rPr>
            </w:pPr>
          </w:p>
        </w:tc>
        <w:tc>
          <w:tcPr>
            <w:tcW w:w="7297" w:type="dxa"/>
          </w:tcPr>
          <w:p w14:paraId="5510C44E" w14:textId="77777777" w:rsidR="00FF52E8" w:rsidRPr="00D37452" w:rsidRDefault="00FF52E8" w:rsidP="000D7385">
            <w:pPr>
              <w:rPr>
                <w:rFonts w:ascii="Times New Roman" w:hAnsi="Times New Roman"/>
              </w:rPr>
            </w:pPr>
          </w:p>
        </w:tc>
      </w:tr>
      <w:tr w:rsidR="00FF52E8" w:rsidRPr="00D37452" w14:paraId="305C09D1" w14:textId="77777777" w:rsidTr="000D7385">
        <w:tc>
          <w:tcPr>
            <w:tcW w:w="2538" w:type="dxa"/>
          </w:tcPr>
          <w:p w14:paraId="7E4EF667" w14:textId="77777777" w:rsidR="00FF52E8" w:rsidRPr="00D37452" w:rsidRDefault="00FF52E8" w:rsidP="000D7385"/>
        </w:tc>
        <w:tc>
          <w:tcPr>
            <w:tcW w:w="7297" w:type="dxa"/>
          </w:tcPr>
          <w:p w14:paraId="364FD99C" w14:textId="77777777" w:rsidR="00FF52E8" w:rsidRPr="00D37452" w:rsidRDefault="00FF52E8" w:rsidP="000D7385"/>
        </w:tc>
      </w:tr>
      <w:tr w:rsidR="00FF52E8" w:rsidRPr="00D37452" w14:paraId="266911C0" w14:textId="77777777" w:rsidTr="000D7385">
        <w:tc>
          <w:tcPr>
            <w:tcW w:w="2538" w:type="dxa"/>
          </w:tcPr>
          <w:p w14:paraId="55F17017" w14:textId="77777777" w:rsidR="00FF52E8" w:rsidRPr="00D37452" w:rsidRDefault="00FF52E8" w:rsidP="000D7385">
            <w:pPr>
              <w:rPr>
                <w:rFonts w:ascii="Times New Roman" w:hAnsi="Times New Roman"/>
              </w:rPr>
            </w:pPr>
          </w:p>
        </w:tc>
        <w:tc>
          <w:tcPr>
            <w:tcW w:w="7297" w:type="dxa"/>
          </w:tcPr>
          <w:p w14:paraId="2A66020A" w14:textId="77777777" w:rsidR="00FF52E8" w:rsidRPr="00D37452" w:rsidRDefault="00FF52E8" w:rsidP="000D7385">
            <w:pPr>
              <w:rPr>
                <w:rFonts w:ascii="Times New Roman" w:hAnsi="Times New Roman"/>
              </w:rPr>
            </w:pPr>
          </w:p>
        </w:tc>
      </w:tr>
      <w:bookmarkEnd w:id="0"/>
    </w:tbl>
    <w:p w14:paraId="27DABD9B" w14:textId="77777777" w:rsidR="00FF52E8" w:rsidRPr="00D37452" w:rsidRDefault="00FF52E8" w:rsidP="00FF52E8"/>
    <w:p w14:paraId="1FBE3142" w14:textId="77777777" w:rsidR="00FF52E8" w:rsidRDefault="00FF52E8"/>
    <w:sectPr w:rsidR="00FF52E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08E8" w14:textId="77777777" w:rsidR="00F106AB" w:rsidRDefault="00F106AB" w:rsidP="00F106AB">
      <w:r>
        <w:separator/>
      </w:r>
    </w:p>
  </w:endnote>
  <w:endnote w:type="continuationSeparator" w:id="0">
    <w:p w14:paraId="40EC561D" w14:textId="77777777" w:rsidR="00F106AB" w:rsidRDefault="00F106AB" w:rsidP="00F1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968D" w14:textId="19EF5498" w:rsidR="00F106AB" w:rsidRDefault="00A81C7F">
    <w:pPr>
      <w:pStyle w:val="Footer"/>
    </w:pPr>
    <w:r>
      <w:t>Cotton Gin Supplement: April 9, 2013</w:t>
    </w:r>
    <w:r>
      <w:ptab w:relativeTo="margin" w:alignment="center" w:leader="none"/>
    </w:r>
    <w:r>
      <w:ptab w:relativeTo="margin" w:alignment="right" w:leader="none"/>
    </w:r>
    <w:r>
      <w:t xml:space="preserve">Printed: </w:t>
    </w:r>
    <w:r>
      <w:fldChar w:fldCharType="begin"/>
    </w:r>
    <w:r>
      <w:instrText xml:space="preserve"> DATE \@ "M/d/yyyy" </w:instrText>
    </w:r>
    <w:r>
      <w:fldChar w:fldCharType="separate"/>
    </w:r>
    <w:r w:rsidR="00FF52E8">
      <w:rPr>
        <w:noProof/>
      </w:rPr>
      <w:t>9/6/2022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C563" w14:textId="77777777" w:rsidR="00F106AB" w:rsidRDefault="00F106AB" w:rsidP="00F106AB">
      <w:r>
        <w:separator/>
      </w:r>
    </w:p>
  </w:footnote>
  <w:footnote w:type="continuationSeparator" w:id="0">
    <w:p w14:paraId="1DDD24EF" w14:textId="77777777" w:rsidR="00F106AB" w:rsidRDefault="00F106AB" w:rsidP="00F10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C6B31"/>
    <w:multiLevelType w:val="hybridMultilevel"/>
    <w:tmpl w:val="FCF61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9649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CF"/>
    <w:rsid w:val="003370CF"/>
    <w:rsid w:val="003418B7"/>
    <w:rsid w:val="00646DE0"/>
    <w:rsid w:val="00776AAC"/>
    <w:rsid w:val="007B6B48"/>
    <w:rsid w:val="00A81C7F"/>
    <w:rsid w:val="00C95F1D"/>
    <w:rsid w:val="00EF36DD"/>
    <w:rsid w:val="00F106AB"/>
    <w:rsid w:val="00F34388"/>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40E8F"/>
  <w15:chartTrackingRefBased/>
  <w15:docId w15:val="{F0CC733E-2ED4-4C35-B514-E405CF01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Black" w:hAnsi="Arial Black"/>
      <w:b/>
      <w:bCs/>
      <w:sz w:val="20"/>
    </w:rPr>
  </w:style>
  <w:style w:type="paragraph" w:styleId="Heading4">
    <w:name w:val="heading 4"/>
    <w:basedOn w:val="Normal"/>
    <w:next w:val="Normal"/>
    <w:qFormat/>
    <w:pPr>
      <w:keepNext/>
      <w:autoSpaceDE w:val="0"/>
      <w:autoSpaceDN w:val="0"/>
      <w:outlineLvl w:val="3"/>
    </w:pPr>
    <w:rPr>
      <w:b/>
      <w:bCs/>
      <w:sz w:val="22"/>
      <w:szCs w:val="22"/>
    </w:rPr>
  </w:style>
  <w:style w:type="paragraph" w:styleId="Heading9">
    <w:name w:val="heading 9"/>
    <w:basedOn w:val="Normal"/>
    <w:next w:val="Normal"/>
    <w:qFormat/>
    <w:pPr>
      <w:keepNext/>
      <w:autoSpaceDE w:val="0"/>
      <w:autoSpaceDN w:val="0"/>
      <w:jc w:val="center"/>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06AB"/>
    <w:pPr>
      <w:tabs>
        <w:tab w:val="center" w:pos="4680"/>
        <w:tab w:val="right" w:pos="9360"/>
      </w:tabs>
    </w:pPr>
  </w:style>
  <w:style w:type="character" w:customStyle="1" w:styleId="HeaderChar">
    <w:name w:val="Header Char"/>
    <w:basedOn w:val="DefaultParagraphFont"/>
    <w:link w:val="Header"/>
    <w:rsid w:val="00F106AB"/>
    <w:rPr>
      <w:sz w:val="24"/>
      <w:szCs w:val="24"/>
    </w:rPr>
  </w:style>
  <w:style w:type="paragraph" w:styleId="Footer">
    <w:name w:val="footer"/>
    <w:basedOn w:val="Normal"/>
    <w:link w:val="FooterChar"/>
    <w:uiPriority w:val="99"/>
    <w:rsid w:val="00F106AB"/>
    <w:pPr>
      <w:tabs>
        <w:tab w:val="center" w:pos="4680"/>
        <w:tab w:val="right" w:pos="9360"/>
      </w:tabs>
    </w:pPr>
  </w:style>
  <w:style w:type="character" w:customStyle="1" w:styleId="FooterChar">
    <w:name w:val="Footer Char"/>
    <w:basedOn w:val="DefaultParagraphFont"/>
    <w:link w:val="Footer"/>
    <w:uiPriority w:val="99"/>
    <w:rsid w:val="00F106AB"/>
    <w:rPr>
      <w:sz w:val="24"/>
      <w:szCs w:val="24"/>
    </w:rPr>
  </w:style>
  <w:style w:type="character" w:styleId="Hyperlink">
    <w:name w:val="Hyperlink"/>
    <w:basedOn w:val="DefaultParagraphFont"/>
    <w:rsid w:val="00A81C7F"/>
    <w:rPr>
      <w:color w:val="0563C1" w:themeColor="hyperlink"/>
      <w:u w:val="single"/>
    </w:rPr>
  </w:style>
  <w:style w:type="character" w:styleId="UnresolvedMention">
    <w:name w:val="Unresolved Mention"/>
    <w:basedOn w:val="DefaultParagraphFont"/>
    <w:uiPriority w:val="99"/>
    <w:semiHidden/>
    <w:unhideWhenUsed/>
    <w:rsid w:val="00A81C7F"/>
    <w:rPr>
      <w:color w:val="605E5C"/>
      <w:shd w:val="clear" w:color="auto" w:fill="E1DFDD"/>
    </w:rPr>
  </w:style>
  <w:style w:type="table" w:styleId="TableGrid">
    <w:name w:val="Table Grid"/>
    <w:basedOn w:val="TableNormal"/>
    <w:uiPriority w:val="39"/>
    <w:rsid w:val="00FF5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7092">
      <w:bodyDiv w:val="1"/>
      <w:marLeft w:val="0"/>
      <w:marRight w:val="0"/>
      <w:marTop w:val="0"/>
      <w:marBottom w:val="0"/>
      <w:divBdr>
        <w:top w:val="none" w:sz="0" w:space="0" w:color="auto"/>
        <w:left w:val="none" w:sz="0" w:space="0" w:color="auto"/>
        <w:bottom w:val="none" w:sz="0" w:space="0" w:color="auto"/>
        <w:right w:val="none" w:sz="0" w:space="0" w:color="auto"/>
      </w:divBdr>
    </w:div>
    <w:div w:id="151075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nv.nm.gov/air-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1240</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Mail Application To:</vt:lpstr>
    </vt:vector>
  </TitlesOfParts>
  <Company>New Mexico Environment Department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Application To:</dc:title>
  <dc:subject/>
  <dc:creator>aqb_cs08</dc:creator>
  <cp:keywords/>
  <cp:lastModifiedBy>Burns, Tasha, ENV</cp:lastModifiedBy>
  <cp:revision>4</cp:revision>
  <dcterms:created xsi:type="dcterms:W3CDTF">2022-07-25T17:08:00Z</dcterms:created>
  <dcterms:modified xsi:type="dcterms:W3CDTF">2022-09-07T03:50:00Z</dcterms:modified>
</cp:coreProperties>
</file>